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Autospacing="0" w:afterAutospacing="0" w:line="480" w:lineRule="exact"/>
        <w:jc w:val="center"/>
        <w:outlineLvl w:val="0"/>
        <w:rPr>
          <w:rFonts w:ascii="Times New Roman" w:cs="Times New Roman"/>
          <w:b/>
          <w:color w:val="000000"/>
          <w:sz w:val="30"/>
          <w:szCs w:val="30"/>
        </w:rPr>
      </w:pPr>
      <w:bookmarkStart w:id="0" w:name="_Hlk515445777"/>
      <w:r>
        <w:rPr>
          <w:rFonts w:hint="eastAsia" w:ascii="Times New Roman" w:cs="Times New Roman"/>
          <w:b/>
          <w:color w:val="000000"/>
          <w:sz w:val="30"/>
          <w:szCs w:val="30"/>
        </w:rPr>
        <w:t>鲁中矿业有限公司港里铁矿1号矿体开采工程</w:t>
      </w:r>
    </w:p>
    <w:p>
      <w:pPr>
        <w:pStyle w:val="27"/>
        <w:spacing w:beforeAutospacing="0" w:afterAutospacing="0" w:line="480" w:lineRule="exact"/>
        <w:jc w:val="center"/>
        <w:outlineLvl w:val="0"/>
        <w:rPr>
          <w:rFonts w:ascii="Times New Roman" w:cs="Times New Roman"/>
          <w:b/>
          <w:color w:val="000000"/>
          <w:sz w:val="30"/>
          <w:szCs w:val="30"/>
        </w:rPr>
      </w:pPr>
      <w:r>
        <w:rPr>
          <w:rFonts w:hint="eastAsia" w:ascii="Times New Roman" w:cs="Times New Roman"/>
          <w:b/>
          <w:color w:val="000000"/>
          <w:sz w:val="30"/>
          <w:szCs w:val="30"/>
        </w:rPr>
        <w:t>（选矿厂扩建工程）竣工环境保护</w:t>
      </w:r>
      <w:bookmarkEnd w:id="0"/>
      <w:r>
        <w:rPr>
          <w:rFonts w:hint="eastAsia" w:ascii="Times New Roman" w:cs="Times New Roman"/>
          <w:b/>
          <w:color w:val="000000"/>
          <w:sz w:val="30"/>
          <w:szCs w:val="30"/>
        </w:rPr>
        <w:t>验收意见</w:t>
      </w:r>
    </w:p>
    <w:p>
      <w:pPr>
        <w:pStyle w:val="27"/>
        <w:widowControl w:val="0"/>
        <w:spacing w:beforeAutospacing="0" w:afterAutospacing="0" w:line="360" w:lineRule="auto"/>
        <w:ind w:firstLine="480" w:firstLineChars="200"/>
        <w:jc w:val="both"/>
        <w:rPr>
          <w:rFonts w:ascii="Times New Roman" w:hAnsi="Times New Roman" w:cs="Times New Roman"/>
          <w:color w:val="000000"/>
          <w:szCs w:val="21"/>
        </w:rPr>
      </w:pPr>
    </w:p>
    <w:p>
      <w:pPr>
        <w:pStyle w:val="27"/>
        <w:keepNext w:val="0"/>
        <w:keepLines w:val="0"/>
        <w:pageBreakBefore w:val="0"/>
        <w:widowControl w:val="0"/>
        <w:kinsoku/>
        <w:wordWrap/>
        <w:overflowPunct/>
        <w:topLinePunct w:val="0"/>
        <w:bidi w:val="0"/>
        <w:spacing w:beforeAutospacing="0" w:afterAutospacing="0" w:line="360" w:lineRule="auto"/>
        <w:ind w:firstLine="480" w:firstLineChars="200"/>
        <w:jc w:val="both"/>
        <w:textAlignment w:val="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color w:val="000000"/>
        </w:rPr>
        <w:t>2019年12月12日，</w:t>
      </w:r>
      <w:r>
        <w:rPr>
          <w:rFonts w:hint="eastAsia" w:asciiTheme="minorEastAsia" w:hAnsiTheme="minorEastAsia" w:eastAsiaTheme="minorEastAsia" w:cstheme="minorEastAsia"/>
        </w:rPr>
        <w:t>鲁中矿业有限公司在济南市莱芜区</w:t>
      </w:r>
      <w:r>
        <w:rPr>
          <w:rFonts w:hint="eastAsia" w:asciiTheme="minorEastAsia" w:hAnsiTheme="minorEastAsia" w:eastAsiaTheme="minorEastAsia" w:cstheme="minorEastAsia"/>
          <w:color w:val="000000"/>
        </w:rPr>
        <w:t>组织召开鲁中矿业有限公司港里铁矿1号矿体开采工程（选矿厂扩建工程）竣工环境保护验收工作会议。验收工作组由工程建设单位--</w:t>
      </w:r>
      <w:r>
        <w:rPr>
          <w:rFonts w:hint="eastAsia" w:asciiTheme="minorEastAsia" w:hAnsiTheme="minorEastAsia" w:eastAsiaTheme="minorEastAsia" w:cstheme="minorEastAsia"/>
        </w:rPr>
        <w:t>鲁中矿业有限公司</w:t>
      </w:r>
      <w:r>
        <w:rPr>
          <w:rFonts w:hint="eastAsia" w:asciiTheme="minorEastAsia" w:hAnsiTheme="minorEastAsia" w:eastAsiaTheme="minorEastAsia" w:cstheme="minorEastAsia"/>
          <w:color w:val="000000"/>
        </w:rPr>
        <w:t>、验收监测报告编制单位—</w:t>
      </w:r>
      <w:r>
        <w:rPr>
          <w:rFonts w:hint="eastAsia" w:asciiTheme="minorEastAsia" w:hAnsiTheme="minorEastAsia" w:eastAsiaTheme="minorEastAsia" w:cstheme="minorEastAsia"/>
        </w:rPr>
        <w:t>江西省核工业地质局测试研究中心</w:t>
      </w:r>
      <w:r>
        <w:rPr>
          <w:rFonts w:hint="eastAsia" w:asciiTheme="minorEastAsia" w:hAnsiTheme="minorEastAsia" w:eastAsiaTheme="minorEastAsia" w:cstheme="minorEastAsia"/>
          <w:lang w:bidi="he-IL"/>
        </w:rPr>
        <w:t>与特邀</w:t>
      </w:r>
      <w:r>
        <w:rPr>
          <w:rFonts w:hint="eastAsia" w:asciiTheme="minorEastAsia" w:hAnsiTheme="minorEastAsia" w:eastAsiaTheme="minorEastAsia" w:cstheme="minorEastAsia"/>
          <w:color w:val="000000"/>
        </w:rPr>
        <w:t>专家（名单附后）组成，验收工作组根据竣工环境保护验收</w:t>
      </w:r>
      <w:r>
        <w:rPr>
          <w:rFonts w:hint="eastAsia" w:asciiTheme="minorEastAsia" w:hAnsiTheme="minorEastAsia" w:eastAsiaTheme="minorEastAsia" w:cstheme="minorEastAsia"/>
        </w:rPr>
        <w:t>监测报告</w:t>
      </w:r>
      <w:r>
        <w:rPr>
          <w:rFonts w:hint="eastAsia" w:asciiTheme="minorEastAsia" w:hAnsiTheme="minorEastAsia" w:eastAsiaTheme="minorEastAsia" w:cstheme="minorEastAsia"/>
          <w:color w:val="000000"/>
        </w:rPr>
        <w:t>并对照《建设项目竣工环境保护验收暂行办法》，</w:t>
      </w:r>
      <w:r>
        <w:rPr>
          <w:rFonts w:hint="eastAsia" w:asciiTheme="minorEastAsia" w:hAnsiTheme="minorEastAsia" w:eastAsiaTheme="minorEastAsia" w:cstheme="minorEastAsia"/>
          <w:snapToGrid w:val="0"/>
        </w:rPr>
        <w:t>严格依照国家有关法律法规、建设项目竣工环境保护验收技术规范/指南、本项目环境影响评价报告书和环评报告书批复等要求，对本项目进行验收，提出意见如下：</w:t>
      </w:r>
    </w:p>
    <w:p>
      <w:pPr>
        <w:pStyle w:val="27"/>
        <w:keepNext w:val="0"/>
        <w:keepLines w:val="0"/>
        <w:pageBreakBefore w:val="0"/>
        <w:kinsoku/>
        <w:wordWrap/>
        <w:overflowPunct/>
        <w:topLinePunct w:val="0"/>
        <w:bidi w:val="0"/>
        <w:spacing w:beforeAutospacing="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一、工程建设基本情况</w:t>
      </w:r>
    </w:p>
    <w:p>
      <w:pPr>
        <w:pStyle w:val="27"/>
        <w:keepNext w:val="0"/>
        <w:keepLines w:val="0"/>
        <w:pageBreakBefore w:val="0"/>
        <w:kinsoku/>
        <w:wordWrap/>
        <w:overflowPunct/>
        <w:topLinePunct w:val="0"/>
        <w:bidi w:val="0"/>
        <w:spacing w:beforeAutospacing="0" w:afterAutospacing="0" w:line="360" w:lineRule="auto"/>
        <w:ind w:firstLine="480" w:firstLineChars="200"/>
        <w:jc w:val="both"/>
        <w:textAlignment w:val="auto"/>
        <w:outlineLvl w:val="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（一）项目基本情况</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2013年9月，鲁中矿业有限公司取得</w:t>
      </w:r>
      <w:r>
        <w:rPr>
          <w:rFonts w:hint="eastAsia" w:asciiTheme="minorEastAsia" w:hAnsiTheme="minorEastAsia" w:eastAsiaTheme="minorEastAsia" w:cstheme="minorEastAsia"/>
          <w:bCs/>
          <w:sz w:val="24"/>
          <w:szCs w:val="24"/>
        </w:rPr>
        <w:t>《关于</w:t>
      </w:r>
      <w:r>
        <w:rPr>
          <w:rFonts w:hint="eastAsia" w:asciiTheme="minorEastAsia" w:hAnsiTheme="minorEastAsia" w:eastAsiaTheme="minorEastAsia" w:cstheme="minorEastAsia"/>
          <w:sz w:val="24"/>
          <w:szCs w:val="24"/>
        </w:rPr>
        <w:t>鲁中矿业有限公司港里铁矿1号矿体开采工程环境影响报告书</w:t>
      </w:r>
      <w:r>
        <w:rPr>
          <w:rFonts w:hint="eastAsia" w:asciiTheme="minorEastAsia" w:hAnsiTheme="minorEastAsia" w:eastAsiaTheme="minorEastAsia" w:cstheme="minorEastAsia"/>
          <w:bCs/>
          <w:sz w:val="24"/>
          <w:szCs w:val="24"/>
        </w:rPr>
        <w:t>的批复》（山东省环境保护厅，鲁环审[2013]178号，2013.09.03）</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该项目主要内容包括2部分：一、港里1号矿</w:t>
      </w:r>
      <w:r>
        <w:rPr>
          <w:rFonts w:hint="eastAsia" w:asciiTheme="minorEastAsia" w:hAnsiTheme="minorEastAsia" w:eastAsiaTheme="minorEastAsia" w:cstheme="minorEastAsia"/>
          <w:sz w:val="24"/>
          <w:szCs w:val="24"/>
          <w:lang w:eastAsia="zh-CN"/>
        </w:rPr>
        <w:t>体</w:t>
      </w:r>
      <w:r>
        <w:rPr>
          <w:rFonts w:hint="eastAsia" w:asciiTheme="minorEastAsia" w:hAnsiTheme="minorEastAsia" w:eastAsiaTheme="minorEastAsia" w:cstheme="minorEastAsia"/>
          <w:sz w:val="24"/>
          <w:szCs w:val="24"/>
        </w:rPr>
        <w:t>采矿：将原张家洼矿主井装备为罐笼井，做为2</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副井；新建1条进风井、1条回风井和2条电梯井；二、选矿厂扩建：在现有一期工程和二期工程四个选矿生产系列的基础上再扩建一个生产系列，依托现有尾矿贮存（尾矿库）设施。</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港里1号矿采矿工程于2013年9月开始建设，2015年6月，由于安全设施设计等原因，鲁中矿业有限公司停止建设港里1号矿采矿工程至今，后期将其纳入鲁中矿业有限公司三期工程，不再单独建设。因此，本次验收不再考虑港里1号矿体采矿工程，只针对选矿厂扩建工程。</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鲁中矿业有限公司选矿厂扩建工程位于山东省济南市莱芜区张家洼街道办事处，建设性质为扩建，扩建内容主要是</w:t>
      </w:r>
      <w:r>
        <w:rPr>
          <w:rFonts w:hint="eastAsia" w:asciiTheme="minorEastAsia" w:hAnsiTheme="minorEastAsia" w:eastAsiaTheme="minorEastAsia" w:cstheme="minorEastAsia"/>
          <w:sz w:val="24"/>
          <w:szCs w:val="24"/>
          <w:lang w:val="zh-CN"/>
        </w:rPr>
        <w:t>新增自磨机、球磨机、分级机、弱磁、细筛、圆滚筛、强磁、浮选机、旋流器、真空过滤机、浓缩池等设备</w:t>
      </w:r>
      <w:r>
        <w:rPr>
          <w:rFonts w:hint="eastAsia" w:asciiTheme="minorEastAsia" w:hAnsiTheme="minorEastAsia" w:eastAsiaTheme="minorEastAsia" w:cstheme="minorEastAsia"/>
          <w:sz w:val="24"/>
          <w:szCs w:val="24"/>
        </w:rPr>
        <w:t>。扩建后</w:t>
      </w:r>
      <w:r>
        <w:rPr>
          <w:rFonts w:hint="eastAsia" w:asciiTheme="minorEastAsia" w:hAnsiTheme="minorEastAsia" w:eastAsiaTheme="minorEastAsia" w:cstheme="minorEastAsia"/>
          <w:sz w:val="24"/>
          <w:szCs w:val="24"/>
          <w:lang w:val="zh-CN"/>
        </w:rPr>
        <w:t>增加100万t/a的选矿规模，选矿规模由350万t/a增加到450万t/a</w:t>
      </w:r>
      <w:r>
        <w:rPr>
          <w:rFonts w:hint="eastAsia" w:asciiTheme="minorEastAsia" w:hAnsiTheme="minorEastAsia" w:eastAsiaTheme="minorEastAsia" w:cstheme="minorEastAsia"/>
          <w:sz w:val="24"/>
          <w:szCs w:val="24"/>
        </w:rPr>
        <w:t>。鲁中矿业有限公司选矿厂扩建工程于</w:t>
      </w:r>
      <w:r>
        <w:rPr>
          <w:rFonts w:hint="eastAsia" w:asciiTheme="minorEastAsia" w:hAnsiTheme="minorEastAsia" w:eastAsiaTheme="minorEastAsia" w:cstheme="minorEastAsia"/>
          <w:bCs/>
          <w:sz w:val="24"/>
          <w:szCs w:val="24"/>
        </w:rPr>
        <w:t>2018年10月开始建设，2019年1月建成开始调试。</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（二）投资情况</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项目实际总投资1333万元，实际环保投资为31万元。</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（三）验收范围</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本次验收范围为选矿厂扩建内容。</w:t>
      </w:r>
    </w:p>
    <w:p>
      <w:pPr>
        <w:pStyle w:val="27"/>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二、工程变动情况</w:t>
      </w:r>
    </w:p>
    <w:p>
      <w:pPr>
        <w:pStyle w:val="4"/>
        <w:keepNext w:val="0"/>
        <w:keepLines w:val="0"/>
        <w:pageBreakBefore w:val="0"/>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本项目实际建设情况与环评及批复要求相比无重大变更：主要变更详见表1。</w:t>
      </w:r>
    </w:p>
    <w:p>
      <w:pPr>
        <w:pStyle w:val="4"/>
        <w:spacing w:line="360" w:lineRule="auto"/>
        <w:ind w:firstLine="723" w:firstLineChars="30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表1 项目变更情况</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51" w:type="dxa"/>
          <w:bottom w:w="0" w:type="dxa"/>
          <w:right w:w="51" w:type="dxa"/>
        </w:tblCellMar>
      </w:tblPr>
      <w:tblGrid>
        <w:gridCol w:w="351"/>
        <w:gridCol w:w="2718"/>
        <w:gridCol w:w="2442"/>
        <w:gridCol w:w="368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40" w:hRule="atLeast"/>
          <w:jc w:val="center"/>
        </w:trPr>
        <w:tc>
          <w:tcPr>
            <w:tcW w:w="0" w:type="auto"/>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编号</w:t>
            </w:r>
          </w:p>
        </w:tc>
        <w:tc>
          <w:tcPr>
            <w:tcW w:w="0" w:type="auto"/>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环评及批复内容</w:t>
            </w:r>
          </w:p>
        </w:tc>
        <w:tc>
          <w:tcPr>
            <w:tcW w:w="2442" w:type="dxa"/>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实际建设情况</w:t>
            </w:r>
          </w:p>
        </w:tc>
        <w:tc>
          <w:tcPr>
            <w:tcW w:w="3685" w:type="dxa"/>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变化情况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40" w:hRule="atLeast"/>
          <w:jc w:val="center"/>
        </w:trPr>
        <w:tc>
          <w:tcPr>
            <w:tcW w:w="0" w:type="auto"/>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w:t>
            </w:r>
          </w:p>
        </w:tc>
        <w:tc>
          <w:tcPr>
            <w:tcW w:w="0" w:type="auto"/>
            <w:shd w:val="clear" w:color="auto" w:fill="auto"/>
            <w:vAlign w:val="center"/>
          </w:tcPr>
          <w:p>
            <w:pPr>
              <w:widowControl w:val="0"/>
              <w:jc w:val="both"/>
              <w:rPr>
                <w:rFonts w:hint="eastAsia"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lang w:val="zh-CN"/>
              </w:rPr>
              <w:t>新增自磨机、球磨机、分级机、强磁选机、过滤机等设备</w:t>
            </w:r>
            <w:r>
              <w:rPr>
                <w:rFonts w:hint="eastAsia" w:asciiTheme="minorEastAsia" w:hAnsiTheme="minorEastAsia" w:eastAsiaTheme="minorEastAsia" w:cstheme="minorEastAsia"/>
                <w:kern w:val="2"/>
                <w:sz w:val="21"/>
                <w:szCs w:val="24"/>
              </w:rPr>
              <w:t>，选矿规模130万t/a。</w:t>
            </w:r>
          </w:p>
        </w:tc>
        <w:tc>
          <w:tcPr>
            <w:tcW w:w="2442" w:type="dxa"/>
            <w:shd w:val="clear" w:color="auto" w:fill="auto"/>
            <w:vAlign w:val="center"/>
          </w:tcPr>
          <w:p>
            <w:pPr>
              <w:widowControl w:val="0"/>
              <w:jc w:val="both"/>
              <w:rPr>
                <w:rFonts w:hint="eastAsia"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lang w:val="zh-CN"/>
              </w:rPr>
              <w:t>新增自磨机、球磨机、分级机、</w:t>
            </w:r>
            <w:r>
              <w:rPr>
                <w:rFonts w:hint="eastAsia" w:asciiTheme="minorEastAsia" w:hAnsiTheme="minorEastAsia" w:eastAsiaTheme="minorEastAsia" w:cstheme="minorEastAsia"/>
                <w:b w:val="0"/>
                <w:bCs/>
                <w:color w:val="000000" w:themeColor="text1"/>
                <w:kern w:val="2"/>
                <w:sz w:val="21"/>
                <w:szCs w:val="24"/>
                <w:lang w:val="zh-CN"/>
              </w:rPr>
              <w:t>弱磁、细筛、圆滚筛、强磁、浮选机、旋流器、真空过滤机、</w:t>
            </w:r>
            <w:r>
              <w:rPr>
                <w:rFonts w:hint="eastAsia" w:asciiTheme="minorEastAsia" w:hAnsiTheme="minorEastAsia" w:eastAsiaTheme="minorEastAsia" w:cstheme="minorEastAsia"/>
                <w:color w:val="000000" w:themeColor="text1"/>
                <w:kern w:val="2"/>
                <w:sz w:val="21"/>
                <w:szCs w:val="24"/>
                <w:lang w:val="zh-CN"/>
              </w:rPr>
              <w:t>浓缩池等设备</w:t>
            </w:r>
            <w:r>
              <w:rPr>
                <w:rFonts w:hint="eastAsia" w:asciiTheme="minorEastAsia" w:hAnsiTheme="minorEastAsia" w:eastAsiaTheme="minorEastAsia" w:cstheme="minorEastAsia"/>
                <w:color w:val="000000" w:themeColor="text1"/>
                <w:kern w:val="2"/>
                <w:sz w:val="21"/>
                <w:szCs w:val="24"/>
              </w:rPr>
              <w:t>，选矿规模</w:t>
            </w:r>
            <w:r>
              <w:rPr>
                <w:rFonts w:hint="eastAsia" w:asciiTheme="minorEastAsia" w:hAnsiTheme="minorEastAsia" w:eastAsiaTheme="minorEastAsia" w:cstheme="minorEastAsia"/>
                <w:kern w:val="2"/>
                <w:sz w:val="21"/>
                <w:szCs w:val="24"/>
              </w:rPr>
              <w:t>100万t/a。</w:t>
            </w:r>
          </w:p>
        </w:tc>
        <w:tc>
          <w:tcPr>
            <w:tcW w:w="3685" w:type="dxa"/>
            <w:shd w:val="clear" w:color="auto" w:fill="auto"/>
            <w:vAlign w:val="center"/>
          </w:tcPr>
          <w:p>
            <w:pPr>
              <w:jc w:val="both"/>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根据生产工艺，产能受自磨机产能限制，变更前后自磨机设备型号和数量未变化，产能未增加；其他设备变化主要增加铁精矿的回收率。</w:t>
            </w:r>
          </w:p>
          <w:p>
            <w:pPr>
              <w:jc w:val="both"/>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选矿规模由130万t/a变更为100万t/a矿石，导致干选废石减少4.2万t/a，尾矿产生量减少13.82万t/a。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40" w:hRule="atLeast"/>
          <w:jc w:val="center"/>
        </w:trPr>
        <w:tc>
          <w:tcPr>
            <w:tcW w:w="0" w:type="auto"/>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w:t>
            </w:r>
          </w:p>
        </w:tc>
        <w:tc>
          <w:tcPr>
            <w:tcW w:w="0" w:type="auto"/>
            <w:shd w:val="clear" w:color="auto" w:fill="auto"/>
            <w:vAlign w:val="center"/>
          </w:tcPr>
          <w:p>
            <w:pPr>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选矿工艺为干选、磨矿、弱磁选、细筛、强磁选、浮选。</w:t>
            </w:r>
          </w:p>
          <w:p>
            <w:pPr>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产品方案为铁精矿、铜精矿、红矿石，红矿石产量增加0.9万t/a，铁精矿产量增加56.34万t/a、铜精矿产量增加0.06万t/a</w:t>
            </w:r>
          </w:p>
        </w:tc>
        <w:tc>
          <w:tcPr>
            <w:tcW w:w="2442" w:type="dxa"/>
            <w:shd w:val="clear" w:color="auto" w:fill="auto"/>
            <w:vAlign w:val="center"/>
          </w:tcPr>
          <w:p>
            <w:pPr>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选矿工艺变更为：干选--湿式自磨-球磨-弱磁-细筛-淘洗磁选-再磨再选（浓缩磁选）-弱磁-再磨（球磨）-强磁-铜浮选-再磨-强磁-铁浮选-强磁流程。</w:t>
            </w:r>
          </w:p>
          <w:p>
            <w:pPr>
              <w:jc w:val="center"/>
              <w:rPr>
                <w:rFonts w:hint="eastAsia" w:asciiTheme="minorEastAsia" w:hAnsiTheme="minorEastAsia" w:eastAsiaTheme="minorEastAsia" w:cstheme="minorEastAsia"/>
                <w:color w:val="FF0000"/>
                <w:kern w:val="2"/>
                <w:sz w:val="21"/>
                <w:szCs w:val="21"/>
              </w:rPr>
            </w:pPr>
            <w:r>
              <w:rPr>
                <w:rFonts w:hint="eastAsia" w:asciiTheme="minorEastAsia" w:hAnsiTheme="minorEastAsia" w:eastAsiaTheme="minorEastAsia" w:cstheme="minorEastAsia"/>
                <w:kern w:val="2"/>
                <w:sz w:val="21"/>
                <w:szCs w:val="21"/>
              </w:rPr>
              <w:t>产品方案为铁精矿、铜精矿、红矿石，红矿石产量增加0.7万t/a，铁精矿产量增加44.58万t/a、铜精矿产量增加0.04万t/a</w:t>
            </w:r>
          </w:p>
        </w:tc>
        <w:tc>
          <w:tcPr>
            <w:tcW w:w="3685" w:type="dxa"/>
            <w:shd w:val="clear" w:color="auto" w:fill="auto"/>
            <w:vAlign w:val="center"/>
          </w:tcPr>
          <w:p>
            <w:pPr>
              <w:jc w:val="both"/>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增加淘洗磁选、再磨再选、铁浮选工序。工艺改变导致铁精矿回收率增加。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40" w:hRule="atLeast"/>
          <w:jc w:val="center"/>
        </w:trPr>
        <w:tc>
          <w:tcPr>
            <w:tcW w:w="0" w:type="auto"/>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w:t>
            </w:r>
          </w:p>
        </w:tc>
        <w:tc>
          <w:tcPr>
            <w:tcW w:w="0" w:type="auto"/>
            <w:shd w:val="clear" w:color="auto" w:fill="auto"/>
            <w:vAlign w:val="center"/>
          </w:tcPr>
          <w:p>
            <w:pPr>
              <w:widowControl w:val="0"/>
              <w:jc w:val="center"/>
              <w:rPr>
                <w:rFonts w:hint="eastAsia"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基本无废气产生</w:t>
            </w:r>
          </w:p>
        </w:tc>
        <w:tc>
          <w:tcPr>
            <w:tcW w:w="2442" w:type="dxa"/>
            <w:shd w:val="clear" w:color="auto" w:fill="auto"/>
            <w:vAlign w:val="center"/>
          </w:tcPr>
          <w:p>
            <w:pPr>
              <w:widowControl w:val="0"/>
              <w:jc w:val="center"/>
              <w:rPr>
                <w:rFonts w:hint="eastAsia"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天然气燃烧废气</w:t>
            </w:r>
          </w:p>
        </w:tc>
        <w:tc>
          <w:tcPr>
            <w:tcW w:w="3685" w:type="dxa"/>
            <w:shd w:val="clear" w:color="auto" w:fill="auto"/>
            <w:vAlign w:val="center"/>
          </w:tcPr>
          <w:p>
            <w:pPr>
              <w:jc w:val="both"/>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由于新增浮选工艺冬季需要保温，项目需要依托选矿厂现有天然气锅炉，现有锅炉设计时已预留第五系列生产负荷，并已按照最大生产负荷申请总量。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40" w:hRule="atLeast"/>
          <w:jc w:val="center"/>
        </w:trPr>
        <w:tc>
          <w:tcPr>
            <w:tcW w:w="0" w:type="auto"/>
            <w:shd w:val="clear" w:color="auto" w:fill="auto"/>
            <w:vAlign w:val="center"/>
          </w:tcPr>
          <w:p>
            <w:pPr>
              <w:jc w:val="center"/>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w:t>
            </w:r>
          </w:p>
        </w:tc>
        <w:tc>
          <w:tcPr>
            <w:tcW w:w="0" w:type="auto"/>
            <w:shd w:val="clear" w:color="auto" w:fill="auto"/>
            <w:vAlign w:val="center"/>
          </w:tcPr>
          <w:p>
            <w:pPr>
              <w:widowControl w:val="0"/>
              <w:jc w:val="center"/>
              <w:rPr>
                <w:rFonts w:hint="eastAsia"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固废为干选废石、尾矿</w:t>
            </w:r>
          </w:p>
        </w:tc>
        <w:tc>
          <w:tcPr>
            <w:tcW w:w="2442" w:type="dxa"/>
            <w:shd w:val="clear" w:color="auto" w:fill="auto"/>
            <w:vAlign w:val="center"/>
          </w:tcPr>
          <w:p>
            <w:pPr>
              <w:widowControl w:val="0"/>
              <w:jc w:val="center"/>
              <w:rPr>
                <w:rFonts w:hint="eastAsia"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固废为干选废石、尾矿、水池沉淀污泥</w:t>
            </w:r>
          </w:p>
        </w:tc>
        <w:tc>
          <w:tcPr>
            <w:tcW w:w="3685" w:type="dxa"/>
            <w:shd w:val="clear" w:color="auto" w:fill="auto"/>
            <w:vAlign w:val="center"/>
          </w:tcPr>
          <w:p>
            <w:pPr>
              <w:jc w:val="both"/>
              <w:rPr>
                <w:rFonts w:hint="eastAsia"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环评时未识别水池沉淀污泥，本次验收考虑入内。</w:t>
            </w:r>
          </w:p>
        </w:tc>
      </w:tr>
    </w:tbl>
    <w:p>
      <w:pPr>
        <w:keepNext w:val="0"/>
        <w:keepLines w:val="0"/>
        <w:pageBreakBefore w:val="0"/>
        <w:kinsoku/>
        <w:wordWrap/>
        <w:overflowPunct/>
        <w:topLinePunct w:val="0"/>
        <w:autoSpaceDE/>
        <w:autoSpaceDN/>
        <w:bidi w:val="0"/>
        <w:spacing w:line="360" w:lineRule="auto"/>
        <w:ind w:firstLine="482" w:firstLineChars="200"/>
        <w:textAlignment w:val="auto"/>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三、环境保护设施建设情况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sz w:val="24"/>
          <w:szCs w:val="24"/>
        </w:rPr>
        <w:t>选矿废水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新增选矿废水量为940.3m</w:t>
      </w:r>
      <w:r>
        <w:rPr>
          <w:rFonts w:hint="eastAsia" w:asciiTheme="minorEastAsia" w:hAnsiTheme="minorEastAsia" w:eastAsiaTheme="minorEastAsia" w:cstheme="minorEastAsia"/>
          <w:kern w:val="2"/>
          <w:sz w:val="24"/>
          <w:szCs w:val="24"/>
          <w:vertAlign w:val="superscript"/>
        </w:rPr>
        <w:t>3</w:t>
      </w:r>
      <w:r>
        <w:rPr>
          <w:rFonts w:hint="eastAsia" w:asciiTheme="minorEastAsia" w:hAnsiTheme="minorEastAsia" w:eastAsiaTheme="minorEastAsia" w:cstheme="minorEastAsia"/>
          <w:kern w:val="2"/>
          <w:sz w:val="24"/>
          <w:szCs w:val="24"/>
        </w:rPr>
        <w:t>/d、310299m</w:t>
      </w:r>
      <w:r>
        <w:rPr>
          <w:rFonts w:hint="eastAsia" w:asciiTheme="minorEastAsia" w:hAnsiTheme="minorEastAsia" w:eastAsiaTheme="minorEastAsia" w:cstheme="minorEastAsia"/>
          <w:kern w:val="2"/>
          <w:sz w:val="24"/>
          <w:szCs w:val="24"/>
          <w:vertAlign w:val="superscript"/>
        </w:rPr>
        <w:t>3</w:t>
      </w:r>
      <w:r>
        <w:rPr>
          <w:rFonts w:hint="eastAsia" w:asciiTheme="minorEastAsia" w:hAnsiTheme="minorEastAsia" w:eastAsiaTheme="minorEastAsia" w:cstheme="minorEastAsia"/>
          <w:kern w:val="2"/>
          <w:sz w:val="24"/>
          <w:szCs w:val="24"/>
        </w:rPr>
        <w:t>/a，泵打至尾矿库，回水输送至选矿厂，用于选矿工艺用水。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2、脱盐水站排污水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脱盐水站排污量12m</w:t>
      </w:r>
      <w:r>
        <w:rPr>
          <w:rFonts w:hint="eastAsia" w:asciiTheme="minorEastAsia" w:hAnsiTheme="minorEastAsia" w:eastAsiaTheme="minorEastAsia" w:cstheme="minorEastAsia"/>
          <w:kern w:val="2"/>
          <w:sz w:val="24"/>
          <w:szCs w:val="24"/>
          <w:vertAlign w:val="superscript"/>
        </w:rPr>
        <w:t>3</w:t>
      </w:r>
      <w:r>
        <w:rPr>
          <w:rFonts w:hint="eastAsia" w:asciiTheme="minorEastAsia" w:hAnsiTheme="minorEastAsia" w:eastAsiaTheme="minorEastAsia" w:cstheme="minorEastAsia"/>
          <w:kern w:val="2"/>
          <w:sz w:val="24"/>
          <w:szCs w:val="24"/>
        </w:rPr>
        <w:t>/d，作为选矿厂工艺用水补水。</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1、锅炉废气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锅炉废气污染物包括SO</w:t>
      </w:r>
      <w:r>
        <w:rPr>
          <w:rFonts w:hint="eastAsia" w:asciiTheme="minorEastAsia" w:hAnsiTheme="minorEastAsia" w:eastAsiaTheme="minorEastAsia" w:cstheme="minorEastAsia"/>
          <w:kern w:val="2"/>
          <w:sz w:val="24"/>
          <w:szCs w:val="24"/>
          <w:vertAlign w:val="subscript"/>
        </w:rPr>
        <w:t>2</w:t>
      </w:r>
      <w:r>
        <w:rPr>
          <w:rFonts w:hint="eastAsia" w:asciiTheme="minorEastAsia" w:hAnsiTheme="minorEastAsia" w:eastAsiaTheme="minorEastAsia" w:cstheme="minorEastAsia"/>
          <w:kern w:val="2"/>
          <w:sz w:val="24"/>
          <w:szCs w:val="24"/>
        </w:rPr>
        <w:t>、NO</w:t>
      </w:r>
      <w:r>
        <w:rPr>
          <w:rFonts w:hint="eastAsia" w:asciiTheme="minorEastAsia" w:hAnsiTheme="minorEastAsia" w:eastAsiaTheme="minorEastAsia" w:cstheme="minorEastAsia"/>
          <w:kern w:val="2"/>
          <w:sz w:val="24"/>
          <w:szCs w:val="24"/>
          <w:vertAlign w:val="subscript"/>
        </w:rPr>
        <w:t>x</w:t>
      </w:r>
      <w:r>
        <w:rPr>
          <w:rFonts w:hint="eastAsia" w:asciiTheme="minorEastAsia" w:hAnsiTheme="minorEastAsia" w:eastAsiaTheme="minorEastAsia" w:cstheme="minorEastAsia"/>
          <w:kern w:val="2"/>
          <w:sz w:val="24"/>
          <w:szCs w:val="24"/>
        </w:rPr>
        <w:t>、颗粒物，燃气锅炉采用低氮燃烧技术，经1根15m高、出口内径为0.25m排气筒直接排放。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2、交通运输扬尘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交通运输扬尘采取车辆清洗、限制车速、运输车辆加盖篷布、制定重污染天气应急预案、道路地面硬化、清扫及洒水降尘等措施后，无组织排放。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3、堆场扬尘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堆场采取洒水降尘、安装防风抑尘网措施，无组织形式排放。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（三）噪声</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噪声主要由自磨机、球磨机、分级机、磁选机、圆筒筛、浮选机、真空过滤机设备产生的，噪声级一般在85~95dB(A)左右。</w:t>
      </w:r>
      <w:r>
        <w:rPr>
          <w:rFonts w:hint="eastAsia" w:asciiTheme="minorEastAsia" w:hAnsiTheme="minorEastAsia" w:eastAsiaTheme="minorEastAsia" w:cstheme="minorEastAsia"/>
          <w:sz w:val="24"/>
          <w:szCs w:val="24"/>
        </w:rPr>
        <w:t>采取的措施主要为基础减振、车间隔声等。</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（1）尾矿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尾矿量40.68万t/a，泵打至尾矿库。根据《固体废物排污申报登记指南》及《工业固体废物名录》中第21项规定，</w:t>
      </w:r>
      <w:r>
        <w:rPr>
          <w:rFonts w:hint="eastAsia" w:asciiTheme="minorEastAsia" w:hAnsiTheme="minorEastAsia" w:eastAsiaTheme="minorEastAsia" w:cstheme="minorEastAsia"/>
          <w:sz w:val="24"/>
          <w:szCs w:val="24"/>
        </w:rPr>
        <w:t>属于一般工业固体废物种类中的SW05尾矿</w:t>
      </w:r>
      <w:r>
        <w:rPr>
          <w:rFonts w:hint="eastAsia" w:asciiTheme="minorEastAsia" w:hAnsiTheme="minorEastAsia" w:eastAsiaTheme="minorEastAsia" w:cstheme="minorEastAsia"/>
          <w:kern w:val="2"/>
          <w:sz w:val="24"/>
          <w:szCs w:val="24"/>
        </w:rPr>
        <w:t>，因此属于一般工业固体废物，且属于</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ROMAN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类一般工业固体废物。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（2）水池沉淀污泥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沉淀污泥量为1600t/a，污泥先打到中矿45米浓缩池，底流再打入高效28米浓缩池，通过总砂泵站隔膜泵打入尾矿库。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（3）干选废石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干选废石产生量为14万t/a，运输至尾矿库筑坝。</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（六）其他保护措施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1、环境风险防范设施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燃气易泄漏处分别设置天然气气体报警器，天然气管道均设置可靠防静电接地，有可能泄漏天然气的地方均须悬挂有提醒注意的警示牌，并标注天然气的流向，天然气管道设低压、高压报警装置和紧急切断阀，工序区内设有灭火蒸汽接头以及相应数量的灭火器；装置外围设置环状供水管网和固定消火栓系统。</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（2）鲁中矿业有限公司编制了《突发环境事件应急预案》，并报当地环保部门备案，备案号为371200-2017-003-M。</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（3）鲁中矿业有限公司成立了应急组织机构，并配备了应急救援物资及装备、定期进行应急演练。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2、地下水污染防治措施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（1）本项目对</w:t>
      </w:r>
      <w:r>
        <w:rPr>
          <w:rFonts w:hint="eastAsia" w:asciiTheme="minorEastAsia" w:hAnsiTheme="minorEastAsia" w:eastAsiaTheme="minorEastAsia" w:cstheme="minorEastAsia"/>
          <w:sz w:val="24"/>
          <w:szCs w:val="24"/>
        </w:rPr>
        <w:t>事故池、环水池、危废暂存间及精矿堆场均采取相应的防渗措施。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（2）本项目</w:t>
      </w:r>
      <w:r>
        <w:rPr>
          <w:rFonts w:hint="eastAsia" w:asciiTheme="minorEastAsia" w:hAnsiTheme="minorEastAsia" w:eastAsiaTheme="minorEastAsia" w:cstheme="minorEastAsia"/>
          <w:sz w:val="24"/>
          <w:szCs w:val="24"/>
        </w:rPr>
        <w:t>建立了地下水环境监测管理体系，并制定了地下水环境影响跟踪监测计划，定期对地下水进行跟踪监测。</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（3）尾矿库设置地下水监控井，定期进行地下水监测工作。</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3、规范化排污口、监测设施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锅炉废气经1根15m高，出口内径0.25m的排气筒排放，并按照要求设置了标志牌、采样平台和永久性采样口，监测孔设置、排气筒高度符合国家大气污染物排放标准的有关规定。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4、其他设施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项目绿化率为15%左右。</w:t>
      </w:r>
    </w:p>
    <w:p>
      <w:pPr>
        <w:pStyle w:val="27"/>
        <w:keepNext w:val="0"/>
        <w:keepLines w:val="0"/>
        <w:pageBreakBefore w:val="0"/>
        <w:kinsoku/>
        <w:wordWrap/>
        <w:overflowPunct/>
        <w:topLinePunct w:val="0"/>
        <w:autoSpaceDE/>
        <w:autoSpaceDN/>
        <w:bidi w:val="0"/>
        <w:spacing w:beforeAutospacing="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四、环境保护设施调试效果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验收监测期间企业生产负荷为93.3-94.5%，满足监测要求。验收监测结论如下：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1.废气</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验收监测期间，</w:t>
      </w:r>
      <w:r>
        <w:rPr>
          <w:rFonts w:hint="eastAsia" w:asciiTheme="minorEastAsia" w:hAnsiTheme="minorEastAsia" w:eastAsiaTheme="minorEastAsia" w:cstheme="minorEastAsia"/>
          <w:sz w:val="24"/>
          <w:szCs w:val="24"/>
        </w:rPr>
        <w:t>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、颗粒物的监测结果分别为：</w:t>
      </w:r>
      <w:r>
        <w:rPr>
          <w:rFonts w:hint="eastAsia" w:asciiTheme="minorEastAsia" w:hAnsiTheme="minorEastAsia" w:eastAsiaTheme="minorEastAsia" w:cstheme="minorEastAsia"/>
          <w:bCs/>
          <w:sz w:val="24"/>
          <w:szCs w:val="24"/>
        </w:rPr>
        <w:t>6mg/m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bCs/>
          <w:sz w:val="24"/>
          <w:szCs w:val="24"/>
        </w:rPr>
        <w:t>、39 mg/m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bCs/>
          <w:sz w:val="24"/>
          <w:szCs w:val="24"/>
        </w:rPr>
        <w:t>、9.5 mg/m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sz w:val="24"/>
          <w:szCs w:val="24"/>
        </w:rPr>
        <w:t>，监测结果均满足《山东省区域性大气污染物综合排放标准》（DB37/2376-201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）表</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中“重点控制区”标准要求</w:t>
      </w:r>
      <w:r>
        <w:rPr>
          <w:rFonts w:hint="eastAsia" w:asciiTheme="minorEastAsia" w:hAnsiTheme="minorEastAsia" w:eastAsiaTheme="minorEastAsia" w:cstheme="minorEastAsia"/>
          <w:sz w:val="24"/>
          <w:szCs w:val="24"/>
          <w:lang w:eastAsia="zh-CN"/>
        </w:rPr>
        <w:t>及山东省《锅炉大气污染物排放标准》（</w:t>
      </w:r>
      <w:r>
        <w:rPr>
          <w:rFonts w:hint="eastAsia" w:asciiTheme="minorEastAsia" w:hAnsiTheme="minorEastAsia" w:eastAsiaTheme="minorEastAsia" w:cstheme="minorEastAsia"/>
          <w:sz w:val="24"/>
          <w:szCs w:val="24"/>
        </w:rPr>
        <w:t>DB37/237</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表</w:t>
      </w:r>
      <w:r>
        <w:rPr>
          <w:rFonts w:hint="eastAsia" w:asciiTheme="minorEastAsia" w:hAnsiTheme="minorEastAsia" w:eastAsiaTheme="minorEastAsia" w:cstheme="minorEastAsia"/>
          <w:sz w:val="24"/>
          <w:szCs w:val="24"/>
          <w:lang w:val="en-US" w:eastAsia="zh-CN"/>
        </w:rPr>
        <w:t>2中</w:t>
      </w:r>
      <w:r>
        <w:rPr>
          <w:rFonts w:hint="eastAsia" w:asciiTheme="minorEastAsia" w:hAnsiTheme="minorEastAsia" w:eastAsiaTheme="minorEastAsia" w:cstheme="minorEastAsia"/>
          <w:sz w:val="24"/>
          <w:szCs w:val="24"/>
        </w:rPr>
        <w:t>“重点控制区”标准要求。无组织颗粒物监测</w:t>
      </w:r>
      <w:r>
        <w:rPr>
          <w:rFonts w:hint="eastAsia" w:asciiTheme="minorEastAsia" w:hAnsiTheme="minorEastAsia" w:eastAsiaTheme="minorEastAsia" w:cstheme="minorEastAsia"/>
          <w:bCs/>
          <w:sz w:val="24"/>
          <w:szCs w:val="24"/>
        </w:rPr>
        <w:t>最大浓度为0.293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mg/m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sz w:val="24"/>
          <w:szCs w:val="24"/>
        </w:rPr>
        <w:t>，满足《铁矿采选工业污染物排放标准》（GB28661-2012）中表7中的颗粒物无组织排放浓度限值。</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2.厂界噪声</w:t>
      </w:r>
    </w:p>
    <w:p>
      <w:pPr>
        <w:pStyle w:val="33"/>
        <w:keepNext w:val="0"/>
        <w:keepLines w:val="0"/>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根据项目厂界噪声监测结果，项目区各厂界昼间噪声值为46.1~56.8dB(A)，夜间噪声值为41.2~46.6dB(A)，项目区各厂界昼间及夜间噪声值均满足《工业企业厂界环境噪声排放标准》（GB12348-2008）2类标准的要求。</w:t>
      </w:r>
    </w:p>
    <w:p>
      <w:pPr>
        <w:pStyle w:val="27"/>
        <w:keepNext w:val="0"/>
        <w:keepLines w:val="0"/>
        <w:pageBreakBefore w:val="0"/>
        <w:kinsoku/>
        <w:wordWrap/>
        <w:overflowPunct/>
        <w:topLinePunct w:val="0"/>
        <w:autoSpaceDE/>
        <w:autoSpaceDN/>
        <w:bidi w:val="0"/>
        <w:spacing w:beforeAutospacing="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五、工程建设对环境的影响</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根据调查结果，该项目污染物达标排放，固废资源化利用。项目建设运营对周边环境影响较小。 </w:t>
      </w:r>
    </w:p>
    <w:p>
      <w:pPr>
        <w:pStyle w:val="27"/>
        <w:keepNext w:val="0"/>
        <w:keepLines w:val="0"/>
        <w:pageBreakBefore w:val="0"/>
        <w:kinsoku/>
        <w:wordWrap/>
        <w:overflowPunct/>
        <w:topLinePunct w:val="0"/>
        <w:autoSpaceDE/>
        <w:autoSpaceDN/>
        <w:bidi w:val="0"/>
        <w:spacing w:beforeAutospacing="0" w:afterAutospacing="0" w:line="360" w:lineRule="auto"/>
        <w:ind w:firstLine="482" w:firstLineChars="200"/>
        <w:jc w:val="both"/>
        <w:textAlignment w:val="auto"/>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六、验收结论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鲁中矿业有限公司港里铁矿1号矿体开采工程（选矿厂扩建工程）环境保护手续齐全，在实施过程中基本按照环评报告</w:t>
      </w:r>
      <w:r>
        <w:rPr>
          <w:rFonts w:hint="eastAsia" w:asciiTheme="minorEastAsia" w:hAnsiTheme="minorEastAsia" w:eastAsiaTheme="minorEastAsia" w:cstheme="minorEastAsia"/>
          <w:b w:val="0"/>
          <w:bCs/>
          <w:sz w:val="24"/>
          <w:szCs w:val="24"/>
          <w:lang w:eastAsia="zh-CN"/>
        </w:rPr>
        <w:t>书</w:t>
      </w:r>
      <w:r>
        <w:rPr>
          <w:rFonts w:hint="eastAsia" w:asciiTheme="minorEastAsia" w:hAnsiTheme="minorEastAsia" w:eastAsiaTheme="minorEastAsia" w:cstheme="minorEastAsia"/>
          <w:b w:val="0"/>
          <w:bCs/>
          <w:sz w:val="24"/>
          <w:szCs w:val="24"/>
        </w:rPr>
        <w:t>及批复要求配套建设了相应的环</w:t>
      </w:r>
      <w:bookmarkStart w:id="1" w:name="_GoBack"/>
      <w:bookmarkEnd w:id="1"/>
      <w:r>
        <w:rPr>
          <w:rFonts w:hint="eastAsia" w:asciiTheme="minorEastAsia" w:hAnsiTheme="minorEastAsia" w:eastAsiaTheme="minorEastAsia" w:cstheme="minorEastAsia"/>
          <w:b w:val="0"/>
          <w:bCs/>
          <w:sz w:val="24"/>
          <w:szCs w:val="24"/>
        </w:rPr>
        <w:t>境保护设施、</w:t>
      </w:r>
      <w:r>
        <w:rPr>
          <w:rFonts w:hint="eastAsia" w:asciiTheme="minorEastAsia" w:hAnsiTheme="minorEastAsia" w:eastAsiaTheme="minorEastAsia" w:cstheme="minorEastAsia"/>
          <w:b w:val="0"/>
          <w:bCs/>
          <w:sz w:val="24"/>
          <w:szCs w:val="24"/>
          <w:lang w:eastAsia="zh-CN"/>
        </w:rPr>
        <w:t>落实了环境保护</w:t>
      </w:r>
      <w:r>
        <w:rPr>
          <w:rFonts w:hint="eastAsia" w:asciiTheme="minorEastAsia" w:hAnsiTheme="minorEastAsia" w:eastAsiaTheme="minorEastAsia" w:cstheme="minorEastAsia"/>
          <w:b w:val="0"/>
          <w:bCs/>
          <w:sz w:val="24"/>
          <w:szCs w:val="24"/>
        </w:rPr>
        <w:t>措施，</w:t>
      </w:r>
      <w:r>
        <w:rPr>
          <w:rFonts w:hint="eastAsia" w:asciiTheme="minorEastAsia" w:hAnsiTheme="minorEastAsia" w:eastAsiaTheme="minorEastAsia" w:cstheme="minorEastAsia"/>
          <w:b w:val="0"/>
          <w:bCs/>
          <w:sz w:val="24"/>
          <w:szCs w:val="24"/>
          <w:lang w:eastAsia="zh-CN"/>
        </w:rPr>
        <w:t>污染物达标排放</w:t>
      </w:r>
      <w:r>
        <w:rPr>
          <w:rFonts w:hint="eastAsia" w:asciiTheme="minorEastAsia" w:hAnsiTheme="minorEastAsia" w:eastAsiaTheme="minorEastAsia" w:cstheme="minorEastAsia"/>
          <w:b w:val="0"/>
          <w:bCs/>
          <w:sz w:val="24"/>
          <w:szCs w:val="24"/>
        </w:rPr>
        <w:t>，基本符合建设项目竣工</w:t>
      </w:r>
      <w:r>
        <w:rPr>
          <w:rFonts w:hint="eastAsia" w:asciiTheme="minorEastAsia" w:hAnsiTheme="minorEastAsia" w:eastAsiaTheme="minorEastAsia" w:cstheme="minorEastAsia"/>
          <w:b w:val="0"/>
          <w:bCs/>
          <w:sz w:val="24"/>
          <w:szCs w:val="24"/>
          <w:lang w:eastAsia="zh-CN"/>
        </w:rPr>
        <w:t>环境保护</w:t>
      </w:r>
      <w:r>
        <w:rPr>
          <w:rFonts w:hint="eastAsia" w:asciiTheme="minorEastAsia" w:hAnsiTheme="minorEastAsia" w:eastAsiaTheme="minorEastAsia" w:cstheme="minorEastAsia"/>
          <w:b w:val="0"/>
          <w:bCs/>
          <w:sz w:val="24"/>
          <w:szCs w:val="24"/>
        </w:rPr>
        <w:t>验收条件，同意通过验收。</w:t>
      </w:r>
    </w:p>
    <w:p>
      <w:pPr>
        <w:pStyle w:val="27"/>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七、后续工作建议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1、加强对各生产设备、环保设施的巡检，防止发生风险事故。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2、加强对厂区内生产装置区地面、排水管道、事故水池等的防渗措施检查，确保不污染物土壤和地下水。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3、加强对固废的收集、贮存、运输过程的管理，严防洒落。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4、加强厂区的绿化。</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p>
    <w:p>
      <w:pPr>
        <w:pStyle w:val="27"/>
        <w:keepNext w:val="0"/>
        <w:keepLines w:val="0"/>
        <w:pageBreakBefore w:val="0"/>
        <w:kinsoku/>
        <w:wordWrap/>
        <w:overflowPunct/>
        <w:topLinePunct w:val="0"/>
        <w:autoSpaceDE/>
        <w:autoSpaceDN/>
        <w:bidi w:val="0"/>
        <w:spacing w:beforeAutospacing="0" w:afterAutospacing="0" w:line="360" w:lineRule="auto"/>
        <w:jc w:val="both"/>
        <w:textAlignment w:val="auto"/>
        <w:outlineLvl w:val="0"/>
        <w:rPr>
          <w:rFonts w:hint="eastAsia" w:asciiTheme="minorEastAsia" w:hAnsiTheme="minorEastAsia" w:eastAsiaTheme="minorEastAsia" w:cstheme="minorEastAsia"/>
          <w:sz w:val="24"/>
          <w:szCs w:val="24"/>
        </w:rPr>
      </w:pPr>
    </w:p>
    <w:p>
      <w:pPr>
        <w:pStyle w:val="27"/>
        <w:keepNext w:val="0"/>
        <w:keepLines w:val="0"/>
        <w:pageBreakBefore w:val="0"/>
        <w:kinsoku/>
        <w:wordWrap/>
        <w:overflowPunct/>
        <w:topLinePunct w:val="0"/>
        <w:autoSpaceDE/>
        <w:autoSpaceDN/>
        <w:bidi w:val="0"/>
        <w:spacing w:beforeAutospacing="0" w:afterAutospacing="0" w:line="360" w:lineRule="auto"/>
        <w:ind w:firstLine="480" w:firstLineChars="200"/>
        <w:jc w:val="right"/>
        <w:textAlignment w:val="auto"/>
        <w:outlineLvl w:val="0"/>
        <w:rPr>
          <w:rFonts w:hint="eastAsia" w:asciiTheme="minorEastAsia" w:hAnsiTheme="minorEastAsia" w:eastAsiaTheme="minorEastAsia" w:cstheme="minorEastAsia"/>
          <w:sz w:val="24"/>
          <w:szCs w:val="24"/>
        </w:rPr>
      </w:pPr>
    </w:p>
    <w:p>
      <w:pPr>
        <w:pStyle w:val="27"/>
        <w:keepNext w:val="0"/>
        <w:keepLines w:val="0"/>
        <w:pageBreakBefore w:val="0"/>
        <w:kinsoku/>
        <w:wordWrap/>
        <w:overflowPunct/>
        <w:topLinePunct w:val="0"/>
        <w:autoSpaceDE/>
        <w:autoSpaceDN/>
        <w:bidi w:val="0"/>
        <w:spacing w:beforeAutospacing="0" w:afterAutospacing="0" w:line="360" w:lineRule="auto"/>
        <w:ind w:firstLine="480" w:firstLineChars="200"/>
        <w:jc w:val="right"/>
        <w:textAlignment w:val="auto"/>
        <w:outlineLvl w:val="0"/>
        <w:rPr>
          <w:rFonts w:hint="eastAsia" w:asciiTheme="minorEastAsia" w:hAnsiTheme="minorEastAsia" w:eastAsiaTheme="minorEastAsia" w:cstheme="minorEastAsia"/>
          <w:sz w:val="24"/>
          <w:szCs w:val="24"/>
        </w:rPr>
      </w:pPr>
    </w:p>
    <w:p>
      <w:pPr>
        <w:pStyle w:val="27"/>
        <w:keepNext w:val="0"/>
        <w:keepLines w:val="0"/>
        <w:pageBreakBefore w:val="0"/>
        <w:kinsoku/>
        <w:wordWrap/>
        <w:overflowPunct/>
        <w:topLinePunct w:val="0"/>
        <w:autoSpaceDE/>
        <w:autoSpaceDN/>
        <w:bidi w:val="0"/>
        <w:spacing w:beforeAutospacing="0" w:afterAutospacing="0" w:line="360" w:lineRule="auto"/>
        <w:jc w:val="both"/>
        <w:textAlignment w:val="auto"/>
        <w:outlineLvl w:val="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验收组</w:t>
      </w:r>
    </w:p>
    <w:p>
      <w:pPr>
        <w:pStyle w:val="27"/>
        <w:keepNext w:val="0"/>
        <w:keepLines w:val="0"/>
        <w:pageBreakBefore w:val="0"/>
        <w:kinsoku/>
        <w:wordWrap/>
        <w:overflowPunct/>
        <w:topLinePunct w:val="0"/>
        <w:autoSpaceDE/>
        <w:autoSpaceDN/>
        <w:bidi w:val="0"/>
        <w:spacing w:beforeAutospacing="0" w:afterAutospacing="0" w:line="360" w:lineRule="auto"/>
        <w:ind w:firstLine="480" w:firstLineChars="200"/>
        <w:jc w:val="center"/>
        <w:textAlignment w:val="auto"/>
        <w:outlineLvl w:val="0"/>
        <w:rPr>
          <w:b/>
          <w:bCs/>
          <w:sz w:val="28"/>
          <w:szCs w:val="28"/>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2019年12月12日</w:t>
      </w:r>
    </w:p>
    <w:sectPr>
      <w:footerReference r:id="rId3"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73" o:spid="_x0000_s3073" o:spt="202" type="#_x0000_t202" style="position:absolute;left:0pt;margin-top:0pt;height:144pt;width:144pt;mso-position-horizontal:right;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NotTrackMoves/>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BB7"/>
    <w:rsid w:val="000226A2"/>
    <w:rsid w:val="00023C57"/>
    <w:rsid w:val="000A67F3"/>
    <w:rsid w:val="000B41DD"/>
    <w:rsid w:val="000C046D"/>
    <w:rsid w:val="000D00C6"/>
    <w:rsid w:val="000D0FB5"/>
    <w:rsid w:val="000E30FF"/>
    <w:rsid w:val="00105ED9"/>
    <w:rsid w:val="00137476"/>
    <w:rsid w:val="00187CD6"/>
    <w:rsid w:val="001A150E"/>
    <w:rsid w:val="001A4337"/>
    <w:rsid w:val="001C2EDD"/>
    <w:rsid w:val="001D6B9D"/>
    <w:rsid w:val="00224557"/>
    <w:rsid w:val="00246917"/>
    <w:rsid w:val="002837E9"/>
    <w:rsid w:val="00303CD1"/>
    <w:rsid w:val="003062E2"/>
    <w:rsid w:val="00343649"/>
    <w:rsid w:val="00345C78"/>
    <w:rsid w:val="003716EF"/>
    <w:rsid w:val="003D7EE0"/>
    <w:rsid w:val="003E6540"/>
    <w:rsid w:val="00416C04"/>
    <w:rsid w:val="00484E82"/>
    <w:rsid w:val="00486141"/>
    <w:rsid w:val="004B4EF0"/>
    <w:rsid w:val="004C20D5"/>
    <w:rsid w:val="004D194C"/>
    <w:rsid w:val="00532C1F"/>
    <w:rsid w:val="00561324"/>
    <w:rsid w:val="00573D2E"/>
    <w:rsid w:val="00640783"/>
    <w:rsid w:val="00644460"/>
    <w:rsid w:val="00644861"/>
    <w:rsid w:val="00645B46"/>
    <w:rsid w:val="006516C2"/>
    <w:rsid w:val="00657CAE"/>
    <w:rsid w:val="006D547E"/>
    <w:rsid w:val="006E6A83"/>
    <w:rsid w:val="0070508A"/>
    <w:rsid w:val="00737FD4"/>
    <w:rsid w:val="00740CF4"/>
    <w:rsid w:val="00743F38"/>
    <w:rsid w:val="00797003"/>
    <w:rsid w:val="007B2346"/>
    <w:rsid w:val="007B47B6"/>
    <w:rsid w:val="007B7B4B"/>
    <w:rsid w:val="007C37FB"/>
    <w:rsid w:val="007F4E4C"/>
    <w:rsid w:val="00800E2F"/>
    <w:rsid w:val="00817D6B"/>
    <w:rsid w:val="00833F70"/>
    <w:rsid w:val="00834685"/>
    <w:rsid w:val="00852E88"/>
    <w:rsid w:val="00863CC0"/>
    <w:rsid w:val="0086593E"/>
    <w:rsid w:val="008D6B41"/>
    <w:rsid w:val="00965307"/>
    <w:rsid w:val="00975B9A"/>
    <w:rsid w:val="009C3529"/>
    <w:rsid w:val="009C6FD1"/>
    <w:rsid w:val="009D046B"/>
    <w:rsid w:val="009F1E40"/>
    <w:rsid w:val="00A72317"/>
    <w:rsid w:val="00AD15A6"/>
    <w:rsid w:val="00AE6988"/>
    <w:rsid w:val="00B00E6B"/>
    <w:rsid w:val="00B33720"/>
    <w:rsid w:val="00B54898"/>
    <w:rsid w:val="00B5668B"/>
    <w:rsid w:val="00B566FD"/>
    <w:rsid w:val="00B7764E"/>
    <w:rsid w:val="00BA575B"/>
    <w:rsid w:val="00BC3360"/>
    <w:rsid w:val="00BD0BB7"/>
    <w:rsid w:val="00BD5551"/>
    <w:rsid w:val="00BE502F"/>
    <w:rsid w:val="00C211DF"/>
    <w:rsid w:val="00C22B40"/>
    <w:rsid w:val="00C3142E"/>
    <w:rsid w:val="00C51294"/>
    <w:rsid w:val="00C629D5"/>
    <w:rsid w:val="00C62EF7"/>
    <w:rsid w:val="00C8231A"/>
    <w:rsid w:val="00CA0600"/>
    <w:rsid w:val="00CA4FFD"/>
    <w:rsid w:val="00CC239D"/>
    <w:rsid w:val="00CC44AE"/>
    <w:rsid w:val="00CE5CF4"/>
    <w:rsid w:val="00CF69FE"/>
    <w:rsid w:val="00D247FD"/>
    <w:rsid w:val="00DB7AAD"/>
    <w:rsid w:val="00DD2992"/>
    <w:rsid w:val="00DE5CA0"/>
    <w:rsid w:val="00E01A7D"/>
    <w:rsid w:val="00E12033"/>
    <w:rsid w:val="00E16BC6"/>
    <w:rsid w:val="00E4676A"/>
    <w:rsid w:val="00E55162"/>
    <w:rsid w:val="00E90C15"/>
    <w:rsid w:val="00E92E38"/>
    <w:rsid w:val="00EB1591"/>
    <w:rsid w:val="00EF3FD7"/>
    <w:rsid w:val="00F72277"/>
    <w:rsid w:val="00F858CA"/>
    <w:rsid w:val="00F911DA"/>
    <w:rsid w:val="00FA1FF4"/>
    <w:rsid w:val="01AB09DA"/>
    <w:rsid w:val="04C56BD7"/>
    <w:rsid w:val="074A5483"/>
    <w:rsid w:val="07E031D3"/>
    <w:rsid w:val="08FD16ED"/>
    <w:rsid w:val="0B062A04"/>
    <w:rsid w:val="0B1401CA"/>
    <w:rsid w:val="0F8C4EEA"/>
    <w:rsid w:val="101021B1"/>
    <w:rsid w:val="11DE4D15"/>
    <w:rsid w:val="122F2408"/>
    <w:rsid w:val="13A814AE"/>
    <w:rsid w:val="158D452C"/>
    <w:rsid w:val="176F0091"/>
    <w:rsid w:val="191633F7"/>
    <w:rsid w:val="194F1CA4"/>
    <w:rsid w:val="1BD95184"/>
    <w:rsid w:val="1C784A8D"/>
    <w:rsid w:val="1E7871DB"/>
    <w:rsid w:val="1FA80B4D"/>
    <w:rsid w:val="205D14BB"/>
    <w:rsid w:val="21DE049E"/>
    <w:rsid w:val="25CD3AA8"/>
    <w:rsid w:val="25E0134C"/>
    <w:rsid w:val="26AB1518"/>
    <w:rsid w:val="274D7005"/>
    <w:rsid w:val="2B6029C5"/>
    <w:rsid w:val="2E8A4DC6"/>
    <w:rsid w:val="30AB178B"/>
    <w:rsid w:val="31C63D68"/>
    <w:rsid w:val="3370736F"/>
    <w:rsid w:val="33BF343B"/>
    <w:rsid w:val="35281982"/>
    <w:rsid w:val="35462361"/>
    <w:rsid w:val="362A0D71"/>
    <w:rsid w:val="36EE66BE"/>
    <w:rsid w:val="37700664"/>
    <w:rsid w:val="3AD31359"/>
    <w:rsid w:val="40D3259E"/>
    <w:rsid w:val="43AA01F2"/>
    <w:rsid w:val="43AF0AAE"/>
    <w:rsid w:val="45361D86"/>
    <w:rsid w:val="46042E1C"/>
    <w:rsid w:val="48C63735"/>
    <w:rsid w:val="49A63245"/>
    <w:rsid w:val="4A312FBA"/>
    <w:rsid w:val="4B8E5E04"/>
    <w:rsid w:val="4C7E5570"/>
    <w:rsid w:val="5086480C"/>
    <w:rsid w:val="533F76C6"/>
    <w:rsid w:val="53B809B7"/>
    <w:rsid w:val="53E739E1"/>
    <w:rsid w:val="55824966"/>
    <w:rsid w:val="58DB0D3B"/>
    <w:rsid w:val="59694CA5"/>
    <w:rsid w:val="5D3C4307"/>
    <w:rsid w:val="60C232CE"/>
    <w:rsid w:val="61CE5CDA"/>
    <w:rsid w:val="643F087B"/>
    <w:rsid w:val="64F15BAA"/>
    <w:rsid w:val="69E72EBE"/>
    <w:rsid w:val="6ABB7D39"/>
    <w:rsid w:val="70702F35"/>
    <w:rsid w:val="715E3950"/>
    <w:rsid w:val="721818F2"/>
    <w:rsid w:val="72CD398F"/>
    <w:rsid w:val="7729239F"/>
    <w:rsid w:val="790510A6"/>
    <w:rsid w:val="79FF7DEF"/>
    <w:rsid w:val="7B103421"/>
    <w:rsid w:val="7FBC07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宋体"/>
      <w:sz w:val="22"/>
      <w:szCs w:val="22"/>
      <w:lang w:val="en-US" w:eastAsia="zh-CN" w:bidi="ar-SA"/>
    </w:rPr>
  </w:style>
  <w:style w:type="paragraph" w:styleId="5">
    <w:name w:val="heading 1"/>
    <w:basedOn w:val="1"/>
    <w:next w:val="1"/>
    <w:link w:val="18"/>
    <w:qFormat/>
    <w:uiPriority w:val="99"/>
    <w:pPr>
      <w:keepNext/>
      <w:keepLines/>
      <w:spacing w:before="340" w:after="330" w:line="578" w:lineRule="auto"/>
      <w:outlineLvl w:val="0"/>
    </w:pPr>
    <w:rPr>
      <w:rFonts w:cs="Times New Roman"/>
      <w:b/>
      <w:bCs/>
      <w:kern w:val="44"/>
      <w:sz w:val="44"/>
      <w:szCs w:val="44"/>
    </w:rPr>
  </w:style>
  <w:style w:type="paragraph" w:styleId="6">
    <w:name w:val="heading 2"/>
    <w:basedOn w:val="1"/>
    <w:next w:val="1"/>
    <w:link w:val="19"/>
    <w:qFormat/>
    <w:uiPriority w:val="99"/>
    <w:pPr>
      <w:keepNext/>
      <w:keepLines/>
      <w:widowControl w:val="0"/>
      <w:adjustRightInd/>
      <w:snapToGrid/>
      <w:spacing w:before="260" w:after="260" w:line="416" w:lineRule="auto"/>
      <w:jc w:val="both"/>
      <w:outlineLvl w:val="1"/>
    </w:pPr>
    <w:rPr>
      <w:rFonts w:ascii="Arial" w:hAnsi="Arial" w:eastAsia="黑体" w:cs="Times New Roman"/>
      <w:b/>
      <w:kern w:val="2"/>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1"/>
    <w:qFormat/>
    <w:uiPriority w:val="99"/>
    <w:pPr>
      <w:spacing w:after="120" w:line="240" w:lineRule="auto"/>
      <w:ind w:left="420" w:leftChars="200"/>
    </w:pPr>
  </w:style>
  <w:style w:type="paragraph" w:styleId="3">
    <w:name w:val="Body Text Indent"/>
    <w:basedOn w:val="1"/>
    <w:link w:val="20"/>
    <w:qFormat/>
    <w:uiPriority w:val="99"/>
    <w:pPr>
      <w:widowControl w:val="0"/>
      <w:spacing w:line="400" w:lineRule="atLeast"/>
      <w:ind w:firstLine="420"/>
      <w:jc w:val="both"/>
    </w:pPr>
    <w:rPr>
      <w:rFonts w:cs="Times New Roman"/>
      <w:szCs w:val="20"/>
    </w:rPr>
  </w:style>
  <w:style w:type="paragraph" w:customStyle="1" w:styleId="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6"/>
    <w:qFormat/>
    <w:locked/>
    <w:uiPriority w:val="0"/>
    <w:pPr>
      <w:widowControl w:val="0"/>
      <w:adjustRightInd/>
      <w:snapToGrid/>
      <w:spacing w:line="360" w:lineRule="auto"/>
      <w:ind w:firstLine="480" w:firstLineChars="200"/>
      <w:jc w:val="both"/>
    </w:pPr>
    <w:rPr>
      <w:rFonts w:ascii="_x000B__x000C_" w:hAnsi="_x000B__x000C_" w:eastAsia="宋体" w:cs="Times New Roman"/>
      <w:color w:val="000000"/>
      <w:kern w:val="2"/>
      <w:sz w:val="24"/>
      <w:szCs w:val="18"/>
    </w:rPr>
  </w:style>
  <w:style w:type="paragraph" w:styleId="8">
    <w:name w:val="Body Text"/>
    <w:basedOn w:val="1"/>
    <w:link w:val="22"/>
    <w:qFormat/>
    <w:uiPriority w:val="99"/>
    <w:pPr>
      <w:spacing w:after="120"/>
    </w:pPr>
    <w:rPr>
      <w:rFonts w:cs="Times New Roman"/>
    </w:rPr>
  </w:style>
  <w:style w:type="paragraph" w:styleId="9">
    <w:name w:val="Plain Text"/>
    <w:basedOn w:val="1"/>
    <w:link w:val="24"/>
    <w:qFormat/>
    <w:uiPriority w:val="99"/>
    <w:pPr>
      <w:widowControl w:val="0"/>
      <w:adjustRightInd/>
      <w:snapToGrid/>
      <w:jc w:val="both"/>
    </w:pPr>
    <w:rPr>
      <w:rFonts w:ascii="宋体" w:hAnsi="Courier New" w:eastAsia="宋体" w:cs="Times New Roman"/>
      <w:kern w:val="2"/>
      <w:sz w:val="21"/>
      <w:szCs w:val="21"/>
    </w:rPr>
  </w:style>
  <w:style w:type="paragraph" w:styleId="10">
    <w:name w:val="footer"/>
    <w:basedOn w:val="1"/>
    <w:link w:val="25"/>
    <w:qFormat/>
    <w:uiPriority w:val="99"/>
    <w:pPr>
      <w:tabs>
        <w:tab w:val="center" w:pos="4153"/>
        <w:tab w:val="right" w:pos="8306"/>
      </w:tabs>
    </w:pPr>
    <w:rPr>
      <w:rFonts w:cs="Times New Roman"/>
      <w:sz w:val="18"/>
      <w:szCs w:val="18"/>
    </w:rPr>
  </w:style>
  <w:style w:type="paragraph" w:styleId="11">
    <w:name w:val="header"/>
    <w:basedOn w:val="1"/>
    <w:link w:val="26"/>
    <w:qFormat/>
    <w:uiPriority w:val="99"/>
    <w:pPr>
      <w:pBdr>
        <w:bottom w:val="single" w:color="auto" w:sz="6" w:space="1"/>
      </w:pBdr>
      <w:tabs>
        <w:tab w:val="center" w:pos="4153"/>
        <w:tab w:val="right" w:pos="8306"/>
      </w:tabs>
      <w:jc w:val="center"/>
    </w:pPr>
    <w:rPr>
      <w:rFonts w:cs="Times New Roman"/>
      <w:sz w:val="18"/>
      <w:szCs w:val="18"/>
    </w:rPr>
  </w:style>
  <w:style w:type="paragraph" w:styleId="12">
    <w:name w:val="Body Text Indent 3"/>
    <w:basedOn w:val="1"/>
    <w:qFormat/>
    <w:locked/>
    <w:uiPriority w:val="0"/>
    <w:pPr>
      <w:spacing w:line="360" w:lineRule="auto"/>
      <w:ind w:firstLine="471" w:firstLineChars="200"/>
    </w:pPr>
    <w:rPr>
      <w:rFonts w:eastAsia="黑体"/>
      <w:b/>
      <w:bCs/>
      <w:sz w:val="24"/>
      <w:szCs w:val="20"/>
    </w:rPr>
  </w:style>
  <w:style w:type="paragraph" w:styleId="13">
    <w:name w:val="Body Text First Indent"/>
    <w:basedOn w:val="8"/>
    <w:link w:val="23"/>
    <w:qFormat/>
    <w:uiPriority w:val="99"/>
    <w:pPr>
      <w:widowControl w:val="0"/>
      <w:adjustRightInd/>
      <w:snapToGrid/>
      <w:ind w:firstLine="420" w:firstLineChars="100"/>
      <w:jc w:val="both"/>
    </w:pPr>
    <w:rPr>
      <w:rFonts w:ascii="Times New Roman" w:hAnsi="Times New Roman" w:eastAsia="宋体"/>
      <w:kern w:val="2"/>
      <w:sz w:val="24"/>
      <w:szCs w:val="24"/>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rFonts w:cs="Times New Roman"/>
      <w:color w:val="0563C1"/>
      <w:u w:val="single"/>
    </w:rPr>
  </w:style>
  <w:style w:type="character" w:customStyle="1" w:styleId="18">
    <w:name w:val="标题 1 Char"/>
    <w:link w:val="5"/>
    <w:qFormat/>
    <w:locked/>
    <w:uiPriority w:val="99"/>
    <w:rPr>
      <w:rFonts w:ascii="Tahoma" w:hAnsi="Tahoma" w:eastAsia="微软雅黑" w:cs="Times New Roman"/>
      <w:b/>
      <w:bCs/>
      <w:kern w:val="44"/>
      <w:sz w:val="44"/>
      <w:szCs w:val="44"/>
    </w:rPr>
  </w:style>
  <w:style w:type="character" w:customStyle="1" w:styleId="19">
    <w:name w:val="标题 2 Char1"/>
    <w:link w:val="6"/>
    <w:qFormat/>
    <w:locked/>
    <w:uiPriority w:val="99"/>
    <w:rPr>
      <w:rFonts w:ascii="Arial" w:hAnsi="Arial" w:eastAsia="黑体" w:cs="Times New Roman"/>
      <w:b/>
      <w:kern w:val="2"/>
      <w:sz w:val="32"/>
    </w:rPr>
  </w:style>
  <w:style w:type="character" w:customStyle="1" w:styleId="20">
    <w:name w:val="正文文本缩进 Char"/>
    <w:link w:val="3"/>
    <w:semiHidden/>
    <w:qFormat/>
    <w:locked/>
    <w:uiPriority w:val="99"/>
    <w:rPr>
      <w:rFonts w:ascii="Tahoma" w:hAnsi="Tahoma" w:eastAsia="微软雅黑" w:cs="宋体"/>
      <w:kern w:val="0"/>
      <w:sz w:val="22"/>
    </w:rPr>
  </w:style>
  <w:style w:type="character" w:customStyle="1" w:styleId="21">
    <w:name w:val="正文首行缩进 2 Char"/>
    <w:link w:val="2"/>
    <w:semiHidden/>
    <w:qFormat/>
    <w:locked/>
    <w:uiPriority w:val="99"/>
    <w:rPr>
      <w:rFonts w:ascii="Tahoma" w:hAnsi="Tahoma" w:eastAsia="微软雅黑" w:cs="宋体"/>
      <w:kern w:val="0"/>
      <w:sz w:val="22"/>
    </w:rPr>
  </w:style>
  <w:style w:type="character" w:customStyle="1" w:styleId="22">
    <w:name w:val="正文文本 Char"/>
    <w:link w:val="8"/>
    <w:qFormat/>
    <w:locked/>
    <w:uiPriority w:val="99"/>
    <w:rPr>
      <w:rFonts w:ascii="Tahoma" w:hAnsi="Tahoma" w:eastAsia="微软雅黑" w:cs="Times New Roman"/>
      <w:sz w:val="22"/>
      <w:szCs w:val="22"/>
    </w:rPr>
  </w:style>
  <w:style w:type="character" w:customStyle="1" w:styleId="23">
    <w:name w:val="正文首行缩进 Char"/>
    <w:link w:val="13"/>
    <w:qFormat/>
    <w:locked/>
    <w:uiPriority w:val="99"/>
    <w:rPr>
      <w:rFonts w:ascii="Times New Roman" w:hAnsi="Times New Roman" w:eastAsia="宋体" w:cs="Times New Roman"/>
      <w:kern w:val="2"/>
      <w:sz w:val="24"/>
      <w:szCs w:val="24"/>
    </w:rPr>
  </w:style>
  <w:style w:type="character" w:customStyle="1" w:styleId="24">
    <w:name w:val="纯文本 Char"/>
    <w:link w:val="9"/>
    <w:qFormat/>
    <w:locked/>
    <w:uiPriority w:val="99"/>
    <w:rPr>
      <w:rFonts w:ascii="宋体" w:hAnsi="Courier New" w:eastAsia="宋体" w:cs="Times New Roman"/>
      <w:kern w:val="2"/>
      <w:sz w:val="21"/>
      <w:szCs w:val="21"/>
    </w:rPr>
  </w:style>
  <w:style w:type="character" w:customStyle="1" w:styleId="25">
    <w:name w:val="页脚 Char"/>
    <w:link w:val="10"/>
    <w:qFormat/>
    <w:locked/>
    <w:uiPriority w:val="99"/>
    <w:rPr>
      <w:rFonts w:ascii="Tahoma" w:hAnsi="Tahoma" w:eastAsia="微软雅黑" w:cs="Times New Roman"/>
      <w:sz w:val="18"/>
      <w:szCs w:val="18"/>
    </w:rPr>
  </w:style>
  <w:style w:type="character" w:customStyle="1" w:styleId="26">
    <w:name w:val="页眉 Char"/>
    <w:link w:val="11"/>
    <w:qFormat/>
    <w:locked/>
    <w:uiPriority w:val="99"/>
    <w:rPr>
      <w:rFonts w:ascii="Tahoma" w:hAnsi="Tahoma" w:eastAsia="微软雅黑" w:cs="Times New Roman"/>
      <w:sz w:val="18"/>
      <w:szCs w:val="18"/>
    </w:rPr>
  </w:style>
  <w:style w:type="paragraph" w:customStyle="1" w:styleId="27">
    <w:name w:val="普通(网站)1"/>
    <w:basedOn w:val="1"/>
    <w:qFormat/>
    <w:uiPriority w:val="99"/>
    <w:pPr>
      <w:adjustRightInd/>
      <w:snapToGrid/>
      <w:spacing w:beforeAutospacing="1" w:afterAutospacing="1"/>
    </w:pPr>
    <w:rPr>
      <w:rFonts w:ascii="宋体" w:hAnsi="宋体" w:eastAsia="宋体"/>
      <w:sz w:val="24"/>
      <w:szCs w:val="24"/>
    </w:rPr>
  </w:style>
  <w:style w:type="character" w:customStyle="1" w:styleId="28">
    <w:name w:val="标题 2 Char"/>
    <w:qFormat/>
    <w:uiPriority w:val="99"/>
    <w:rPr>
      <w:rFonts w:ascii="Calibri Light" w:hAnsi="Calibri Light" w:eastAsia="宋体" w:cs="宋体"/>
      <w:b/>
      <w:bCs/>
      <w:sz w:val="32"/>
      <w:szCs w:val="32"/>
    </w:rPr>
  </w:style>
  <w:style w:type="character" w:customStyle="1" w:styleId="29">
    <w:name w:val="标题 1 字符"/>
    <w:qFormat/>
    <w:uiPriority w:val="99"/>
    <w:rPr>
      <w:rFonts w:eastAsia="宋体"/>
      <w:kern w:val="2"/>
      <w:sz w:val="24"/>
      <w:lang w:val="en-US" w:eastAsia="zh-CN"/>
    </w:rPr>
  </w:style>
  <w:style w:type="paragraph" w:styleId="30">
    <w:name w:val="List Paragraph"/>
    <w:basedOn w:val="1"/>
    <w:qFormat/>
    <w:uiPriority w:val="99"/>
    <w:pPr>
      <w:ind w:firstLine="420" w:firstLineChars="200"/>
    </w:pPr>
  </w:style>
  <w:style w:type="table" w:customStyle="1" w:styleId="31">
    <w:name w:val="Medium Grid 3_aa085481-0f6b-47de-8ecf-764bafad7802"/>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style>
  <w:style w:type="paragraph" w:customStyle="1" w:styleId="32">
    <w:name w:val="&quot;文字描述&quot;"/>
    <w:basedOn w:val="1"/>
    <w:qFormat/>
    <w:uiPriority w:val="99"/>
    <w:pPr>
      <w:widowControl w:val="0"/>
      <w:spacing w:line="360" w:lineRule="auto"/>
      <w:ind w:firstLine="200" w:firstLineChars="200"/>
      <w:jc w:val="both"/>
    </w:pPr>
    <w:rPr>
      <w:rFonts w:ascii="Times New Roman" w:hAnsi="Times New Roman" w:cs="Times New Roman"/>
      <w:spacing w:val="-2"/>
      <w:kern w:val="2"/>
      <w:sz w:val="24"/>
      <w:szCs w:val="24"/>
    </w:rPr>
  </w:style>
  <w:style w:type="paragraph" w:customStyle="1" w:styleId="33">
    <w:name w:val="文字描述"/>
    <w:basedOn w:val="1"/>
    <w:qFormat/>
    <w:uiPriority w:val="99"/>
    <w:pPr>
      <w:spacing w:line="360" w:lineRule="auto"/>
      <w:ind w:firstLine="200" w:firstLineChars="200"/>
    </w:pPr>
    <w:rPr>
      <w:spacing w:val="-2"/>
      <w:sz w:val="24"/>
    </w:rPr>
  </w:style>
  <w:style w:type="paragraph" w:customStyle="1" w:styleId="34">
    <w:name w:val="表内"/>
    <w:link w:val="35"/>
    <w:qFormat/>
    <w:uiPriority w:val="0"/>
    <w:pPr>
      <w:jc w:val="center"/>
    </w:pPr>
    <w:rPr>
      <w:rFonts w:ascii="Times New Roman" w:hAnsi="Times New Roman" w:eastAsia="宋体" w:cs="Times New Roman"/>
      <w:kern w:val="2"/>
      <w:sz w:val="21"/>
      <w:lang w:val="en-US" w:eastAsia="zh-CN" w:bidi="ar-SA"/>
    </w:rPr>
  </w:style>
  <w:style w:type="character" w:customStyle="1" w:styleId="35">
    <w:name w:val="表内 Char"/>
    <w:link w:val="34"/>
    <w:qFormat/>
    <w:uiPriority w:val="0"/>
    <w:rPr>
      <w:kern w:val="2"/>
      <w:sz w:val="21"/>
      <w:lang w:bidi="ar-SA"/>
    </w:rPr>
  </w:style>
  <w:style w:type="character" w:customStyle="1" w:styleId="36">
    <w:name w:val="正文缩进 Char1"/>
    <w:link w:val="7"/>
    <w:qFormat/>
    <w:locked/>
    <w:uiPriority w:val="0"/>
    <w:rPr>
      <w:rFonts w:ascii="_x000B__x000C_" w:hAnsi="_x000B__x000C_"/>
      <w:color w:val="000000"/>
      <w:kern w:val="2"/>
      <w:sz w:val="24"/>
      <w:szCs w:val="18"/>
    </w:rPr>
  </w:style>
  <w:style w:type="paragraph" w:customStyle="1" w:styleId="37">
    <w:name w:val="Char Char22 Char Char"/>
    <w:basedOn w:val="1"/>
    <w:qFormat/>
    <w:uiPriority w:val="0"/>
    <w:pPr>
      <w:widowControl w:val="0"/>
      <w:adjustRightInd/>
      <w:snapToGrid/>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562</Words>
  <Characters>3204</Characters>
  <Lines>26</Lines>
  <Paragraphs>7</Paragraphs>
  <TotalTime>1044</TotalTime>
  <ScaleCrop>false</ScaleCrop>
  <LinksUpToDate>false</LinksUpToDate>
  <CharactersWithSpaces>3759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2018-06-07T02:27:00Z</dcterms:created>
  <dc:creator>初秋、的夏日</dc:creator>
  <cp:lastModifiedBy>Administrator</cp:lastModifiedBy>
  <cp:lastPrinted>2019-12-12T06:01:00Z</cp:lastPrinted>
  <dcterms:modified xsi:type="dcterms:W3CDTF">2020-01-02T00:07:52Z</dcterms:modified>
  <dc:title>微山县吉尔机械配件有限公司</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